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after="156" w:afterLines="50" w:line="580" w:lineRule="atLeas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部门项目申报表(含绩效目标)</w:t>
      </w:r>
    </w:p>
    <w:p>
      <w:pPr>
        <w:adjustRightInd w:val="0"/>
        <w:snapToGrid w:val="0"/>
        <w:spacing w:before="156" w:beforeLines="50" w:after="156" w:afterLines="50" w:line="580" w:lineRule="atLeast"/>
        <w:jc w:val="center"/>
        <w:rPr>
          <w:rFonts w:hint="eastAsia" w:ascii="宋体" w:hAnsi="宋体" w:cs="宋体"/>
        </w:rPr>
      </w:pPr>
      <w:r>
        <w:rPr>
          <w:rFonts w:hint="eastAsia" w:ascii="宋体" w:hAnsi="宋体" w:cs="宋体"/>
          <w:szCs w:val="21"/>
        </w:rPr>
        <w:t>申报日期：</w:t>
      </w:r>
      <w:r>
        <w:rPr>
          <w:rFonts w:hint="eastAsia" w:ascii="宋体" w:hAnsi="宋体" w:cs="宋体"/>
          <w:szCs w:val="21"/>
          <w:lang w:val="en-US" w:eastAsia="zh-CN"/>
        </w:rPr>
        <w:t>2023年9月18日</w:t>
      </w:r>
      <w:r>
        <w:rPr>
          <w:rFonts w:hint="eastAsia" w:ascii="宋体" w:hAnsi="宋体" w:cs="宋体"/>
          <w:szCs w:val="21"/>
        </w:rPr>
        <w:t xml:space="preserve"> </w:t>
      </w:r>
      <w:r>
        <w:rPr>
          <w:rFonts w:hint="eastAsia" w:ascii="宋体" w:hAnsi="宋体" w:cs="宋体"/>
        </w:rPr>
        <w:t xml:space="preserve">                                           单位：万元</w:t>
      </w:r>
    </w:p>
    <w:tbl>
      <w:tblPr>
        <w:tblStyle w:val="3"/>
        <w:tblW w:w="884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145"/>
        <w:gridCol w:w="1001"/>
        <w:gridCol w:w="151"/>
        <w:gridCol w:w="996"/>
        <w:gridCol w:w="120"/>
        <w:gridCol w:w="832"/>
        <w:gridCol w:w="440"/>
        <w:gridCol w:w="1188"/>
        <w:gridCol w:w="312"/>
        <w:gridCol w:w="768"/>
        <w:gridCol w:w="730"/>
        <w:gridCol w:w="338"/>
        <w:gridCol w:w="67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209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人大代表培训费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9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项目编码</w:t>
            </w:r>
          </w:p>
        </w:tc>
        <w:tc>
          <w:tcPr>
            <w:tcW w:w="251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42011223005T000000102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项目主管部门</w:t>
            </w:r>
          </w:p>
        </w:tc>
        <w:tc>
          <w:tcPr>
            <w:tcW w:w="209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区人大常委会</w:t>
            </w: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eastAsia="zh-CN"/>
              </w:rPr>
              <w:t>代工委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9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项目执行单位</w:t>
            </w:r>
          </w:p>
        </w:tc>
        <w:tc>
          <w:tcPr>
            <w:tcW w:w="251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代表人事任免科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项目负责人</w:t>
            </w:r>
          </w:p>
        </w:tc>
        <w:tc>
          <w:tcPr>
            <w:tcW w:w="209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汪欣</w:t>
            </w:r>
          </w:p>
        </w:tc>
        <w:tc>
          <w:tcPr>
            <w:tcW w:w="19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51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83252536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单位地址</w:t>
            </w:r>
          </w:p>
        </w:tc>
        <w:tc>
          <w:tcPr>
            <w:tcW w:w="209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东西湖区吴家山东吴大道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791号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邮政编码</w:t>
            </w:r>
          </w:p>
        </w:tc>
        <w:tc>
          <w:tcPr>
            <w:tcW w:w="251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430040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项目属性</w:t>
            </w:r>
          </w:p>
        </w:tc>
        <w:tc>
          <w:tcPr>
            <w:tcW w:w="6554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持续性项目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支出项目类别</w:t>
            </w:r>
          </w:p>
        </w:tc>
        <w:tc>
          <w:tcPr>
            <w:tcW w:w="6554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常年性项目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起始年度</w:t>
            </w:r>
          </w:p>
        </w:tc>
        <w:tc>
          <w:tcPr>
            <w:tcW w:w="209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2023</w:t>
            </w:r>
          </w:p>
        </w:tc>
        <w:tc>
          <w:tcPr>
            <w:tcW w:w="19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终止年度</w:t>
            </w:r>
          </w:p>
        </w:tc>
        <w:tc>
          <w:tcPr>
            <w:tcW w:w="251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2023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项目立项依据</w:t>
            </w:r>
          </w:p>
        </w:tc>
        <w:tc>
          <w:tcPr>
            <w:tcW w:w="6554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根据《代表法》，对代表进行全覆盖培训，提高代表履职能力和水平，确保人大代表能够正确、合法的履职尽责。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项目实施方案</w:t>
            </w:r>
          </w:p>
        </w:tc>
        <w:tc>
          <w:tcPr>
            <w:tcW w:w="6554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举办人大代表专题培训班，覆盖新当选的东西湖区第十一届人大代表，提升代表履职尽责能力。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项目总预算</w:t>
            </w:r>
          </w:p>
        </w:tc>
        <w:tc>
          <w:tcPr>
            <w:tcW w:w="209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ind w:firstLine="420" w:firstLineChars="200"/>
              <w:jc w:val="both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70万元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项目当年预算</w:t>
            </w:r>
          </w:p>
        </w:tc>
        <w:tc>
          <w:tcPr>
            <w:tcW w:w="251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ind w:firstLine="630" w:firstLineChars="300"/>
              <w:jc w:val="both"/>
              <w:rPr>
                <w:rFonts w:hint="default" w:ascii="宋体" w:hAnsi="宋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调剂减少35万元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项目前两年预算及当年预算变动情况</w:t>
            </w:r>
          </w:p>
        </w:tc>
        <w:tc>
          <w:tcPr>
            <w:tcW w:w="6554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1.2021年为59.5万元；2.2022年预算为80万元；3.当年预算变动情况：年初预算70万元，我单位人大代表培训经费原计划开展三期，根据区委最新要求，仅开展一期培训，故该项目经费预算有剩余指标且2023年度无法执行。同时开展专题调研、座谈会议及视察检查等活动，相应支出增加，导致专工委工作经费不足；另应区委区政府关于加强国有资产管理维护等工作要求，今年拟在机关增设车棚等设施，用于强化国有资产管理，故小型设施修缮及网络运行维护经费不足，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综上将人大代表培训经费调剂使用，调减35万元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292" w:type="dxa"/>
            <w:gridSpan w:val="3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项目资金来源</w:t>
            </w:r>
          </w:p>
        </w:tc>
        <w:tc>
          <w:tcPr>
            <w:tcW w:w="403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来源项目</w:t>
            </w:r>
          </w:p>
        </w:tc>
        <w:tc>
          <w:tcPr>
            <w:tcW w:w="251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292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3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251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tabs>
                <w:tab w:val="center" w:pos="1024"/>
                <w:tab w:val="right" w:pos="2379"/>
              </w:tabs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-35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万元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292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3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一般公共预算财政拨款</w:t>
            </w:r>
          </w:p>
        </w:tc>
        <w:tc>
          <w:tcPr>
            <w:tcW w:w="251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righ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-35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万元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292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3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其中：申请当年预算拨款</w:t>
            </w:r>
          </w:p>
        </w:tc>
        <w:tc>
          <w:tcPr>
            <w:tcW w:w="251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righ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92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3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政府性基金预算财政拨款</w:t>
            </w:r>
          </w:p>
        </w:tc>
        <w:tc>
          <w:tcPr>
            <w:tcW w:w="251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righ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292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3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财政专户管理资金</w:t>
            </w:r>
          </w:p>
        </w:tc>
        <w:tc>
          <w:tcPr>
            <w:tcW w:w="251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righ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292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3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单位资金</w:t>
            </w:r>
          </w:p>
        </w:tc>
        <w:tc>
          <w:tcPr>
            <w:tcW w:w="251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righ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292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3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其中：使用上年度财政拨款结转</w:t>
            </w:r>
          </w:p>
        </w:tc>
        <w:tc>
          <w:tcPr>
            <w:tcW w:w="251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righ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84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项目支出明细测算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项目活动</w:t>
            </w:r>
          </w:p>
        </w:tc>
        <w:tc>
          <w:tcPr>
            <w:tcW w:w="11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活动内容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表述</w:t>
            </w:r>
          </w:p>
        </w:tc>
        <w:tc>
          <w:tcPr>
            <w:tcW w:w="114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支出经济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分类</w:t>
            </w:r>
          </w:p>
        </w:tc>
        <w:tc>
          <w:tcPr>
            <w:tcW w:w="95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金额</w:t>
            </w:r>
          </w:p>
        </w:tc>
        <w:tc>
          <w:tcPr>
            <w:tcW w:w="343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测算依据及说明</w:t>
            </w: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商品和服务支出</w:t>
            </w:r>
          </w:p>
        </w:tc>
        <w:tc>
          <w:tcPr>
            <w:tcW w:w="11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举办代表培训班</w:t>
            </w:r>
          </w:p>
        </w:tc>
        <w:tc>
          <w:tcPr>
            <w:tcW w:w="114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培训费</w:t>
            </w:r>
          </w:p>
        </w:tc>
        <w:tc>
          <w:tcPr>
            <w:tcW w:w="95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-35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万元</w:t>
            </w:r>
          </w:p>
        </w:tc>
        <w:tc>
          <w:tcPr>
            <w:tcW w:w="3438" w:type="dxa"/>
            <w:gridSpan w:val="5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按照“厉行节约”原则，根据《武汉市市级党政机关培训费管理办法》（武财行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{2017}434号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）文件标准进行测算。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4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项目绩效总目标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6554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目标说明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长期绩效目标1</w:t>
            </w:r>
          </w:p>
        </w:tc>
        <w:tc>
          <w:tcPr>
            <w:tcW w:w="6554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</w:rPr>
              <w:t>科学安排代表履职培训工作，创新培训方式方法</w:t>
            </w:r>
            <w:r>
              <w:rPr>
                <w:rFonts w:hint="eastAsia" w:ascii="宋体" w:hAnsi="宋体" w:cs="Times New Roman"/>
                <w:kern w:val="0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年度绩效目标1</w:t>
            </w:r>
          </w:p>
        </w:tc>
        <w:tc>
          <w:tcPr>
            <w:tcW w:w="6554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</w:rPr>
              <w:t>科学安排代表履职培训工作，创新培训方式方法</w:t>
            </w:r>
            <w:r>
              <w:rPr>
                <w:rFonts w:hint="eastAsia" w:ascii="宋体" w:hAnsi="宋体" w:cs="Times New Roman"/>
                <w:kern w:val="0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846" w:type="dxa"/>
            <w:gridSpan w:val="14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长期绩效目标表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9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目标名称</w:t>
            </w:r>
          </w:p>
        </w:tc>
        <w:tc>
          <w:tcPr>
            <w:tcW w:w="115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一级指标</w:t>
            </w:r>
          </w:p>
        </w:tc>
        <w:tc>
          <w:tcPr>
            <w:tcW w:w="111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二级指标</w:t>
            </w:r>
          </w:p>
        </w:tc>
        <w:tc>
          <w:tcPr>
            <w:tcW w:w="246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三级指标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指标值</w:t>
            </w:r>
          </w:p>
        </w:tc>
        <w:tc>
          <w:tcPr>
            <w:tcW w:w="174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指标值确定依据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291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长期绩效目标1</w:t>
            </w:r>
          </w:p>
        </w:tc>
        <w:tc>
          <w:tcPr>
            <w:tcW w:w="115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成本指标</w:t>
            </w:r>
          </w:p>
        </w:tc>
        <w:tc>
          <w:tcPr>
            <w:tcW w:w="111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经济成本指标</w:t>
            </w:r>
          </w:p>
        </w:tc>
        <w:tc>
          <w:tcPr>
            <w:tcW w:w="246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人均培训成本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不超标准</w:t>
            </w:r>
          </w:p>
        </w:tc>
        <w:tc>
          <w:tcPr>
            <w:tcW w:w="174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91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152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产出指标</w:t>
            </w:r>
          </w:p>
        </w:tc>
        <w:tc>
          <w:tcPr>
            <w:tcW w:w="111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数量指标</w:t>
            </w:r>
          </w:p>
        </w:tc>
        <w:tc>
          <w:tcPr>
            <w:tcW w:w="2460" w:type="dxa"/>
            <w:gridSpan w:val="3"/>
            <w:noWrap w:val="0"/>
            <w:vAlign w:val="center"/>
          </w:tcPr>
          <w:p>
            <w:pPr>
              <w:widowControl/>
              <w:ind w:firstLine="210" w:firstLineChars="100"/>
              <w:jc w:val="both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举办培训班次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≥3</w:t>
            </w:r>
          </w:p>
        </w:tc>
        <w:tc>
          <w:tcPr>
            <w:tcW w:w="174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91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152" w:type="dxa"/>
            <w:gridSpan w:val="2"/>
            <w:vMerge w:val="continue"/>
            <w:tcBorders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116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质量指标</w:t>
            </w:r>
          </w:p>
        </w:tc>
        <w:tc>
          <w:tcPr>
            <w:tcW w:w="246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仿宋_GB2312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仿宋_GB2312"/>
                <w:kern w:val="0"/>
                <w:sz w:val="21"/>
                <w:szCs w:val="21"/>
                <w:lang w:eastAsia="zh-CN"/>
              </w:rPr>
              <w:t>培训合格率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95%</w:t>
            </w:r>
          </w:p>
        </w:tc>
        <w:tc>
          <w:tcPr>
            <w:tcW w:w="174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91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152" w:type="dxa"/>
            <w:gridSpan w:val="2"/>
            <w:vMerge w:val="continue"/>
            <w:tcBorders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116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2460" w:type="dxa"/>
            <w:gridSpan w:val="3"/>
            <w:noWrap w:val="0"/>
            <w:vAlign w:val="center"/>
          </w:tcPr>
          <w:p>
            <w:pPr>
              <w:widowControl/>
              <w:ind w:firstLine="420" w:firstLineChars="200"/>
              <w:jc w:val="both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培训参与率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90%</w:t>
            </w:r>
          </w:p>
        </w:tc>
        <w:tc>
          <w:tcPr>
            <w:tcW w:w="1747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91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152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 w:eastAsiaTheme="minorEastAsia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lang w:eastAsia="zh-CN"/>
              </w:rPr>
              <w:t>效益指标</w:t>
            </w:r>
          </w:p>
        </w:tc>
        <w:tc>
          <w:tcPr>
            <w:tcW w:w="111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社会效益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指标</w:t>
            </w:r>
          </w:p>
        </w:tc>
        <w:tc>
          <w:tcPr>
            <w:tcW w:w="246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提升人大代表的履职能力和水平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有所提升</w:t>
            </w:r>
          </w:p>
        </w:tc>
        <w:tc>
          <w:tcPr>
            <w:tcW w:w="174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91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15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满意度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指标</w:t>
            </w:r>
          </w:p>
        </w:tc>
        <w:tc>
          <w:tcPr>
            <w:tcW w:w="111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服务对象满意度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指标</w:t>
            </w:r>
          </w:p>
        </w:tc>
        <w:tc>
          <w:tcPr>
            <w:tcW w:w="246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受训学员满意度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95%</w:t>
            </w:r>
          </w:p>
        </w:tc>
        <w:tc>
          <w:tcPr>
            <w:tcW w:w="174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46" w:type="dxa"/>
            <w:gridSpan w:val="14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年度绩效目标表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91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目标名称</w:t>
            </w:r>
          </w:p>
        </w:tc>
        <w:tc>
          <w:tcPr>
            <w:tcW w:w="1152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一级指标</w:t>
            </w:r>
          </w:p>
        </w:tc>
        <w:tc>
          <w:tcPr>
            <w:tcW w:w="1116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二级指标</w:t>
            </w:r>
          </w:p>
        </w:tc>
        <w:tc>
          <w:tcPr>
            <w:tcW w:w="1272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三级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指标</w:t>
            </w:r>
          </w:p>
        </w:tc>
        <w:tc>
          <w:tcPr>
            <w:tcW w:w="3336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指标值</w:t>
            </w:r>
          </w:p>
        </w:tc>
        <w:tc>
          <w:tcPr>
            <w:tcW w:w="679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指标值确定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291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152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116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272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前年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上年</w:t>
            </w:r>
          </w:p>
        </w:tc>
        <w:tc>
          <w:tcPr>
            <w:tcW w:w="106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当年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实现</w:t>
            </w:r>
          </w:p>
        </w:tc>
        <w:tc>
          <w:tcPr>
            <w:tcW w:w="6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91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年度绩效目标1</w:t>
            </w:r>
          </w:p>
        </w:tc>
        <w:tc>
          <w:tcPr>
            <w:tcW w:w="115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2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成本指标</w:t>
            </w:r>
          </w:p>
        </w:tc>
        <w:tc>
          <w:tcPr>
            <w:tcW w:w="111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2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经济成本指标</w:t>
            </w:r>
          </w:p>
        </w:tc>
        <w:tc>
          <w:tcPr>
            <w:tcW w:w="1272" w:type="dxa"/>
            <w:gridSpan w:val="2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人均培训成本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不超标准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不超标准</w:t>
            </w:r>
          </w:p>
        </w:tc>
        <w:tc>
          <w:tcPr>
            <w:tcW w:w="106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不超标准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91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152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产出指标</w:t>
            </w:r>
          </w:p>
        </w:tc>
        <w:tc>
          <w:tcPr>
            <w:tcW w:w="111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数量指标</w:t>
            </w:r>
          </w:p>
        </w:tc>
        <w:tc>
          <w:tcPr>
            <w:tcW w:w="1272" w:type="dxa"/>
            <w:gridSpan w:val="2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举办培训班次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≥3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≥3</w:t>
            </w:r>
          </w:p>
        </w:tc>
        <w:tc>
          <w:tcPr>
            <w:tcW w:w="106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=1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291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152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116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2"/>
              </w:rPr>
            </w:pPr>
            <w:r>
              <w:rPr>
                <w:rFonts w:hint="eastAsia" w:ascii="宋体" w:hAnsi="宋体" w:cs="宋体"/>
                <w:kern w:val="0"/>
              </w:rPr>
              <w:t>质量指标</w:t>
            </w:r>
          </w:p>
        </w:tc>
        <w:tc>
          <w:tcPr>
            <w:tcW w:w="1272" w:type="dxa"/>
            <w:gridSpan w:val="2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培训合格率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95%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95%</w:t>
            </w:r>
          </w:p>
        </w:tc>
        <w:tc>
          <w:tcPr>
            <w:tcW w:w="106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95%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91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152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116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272" w:type="dxa"/>
            <w:gridSpan w:val="2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培训参与率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90%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90%</w:t>
            </w:r>
          </w:p>
        </w:tc>
        <w:tc>
          <w:tcPr>
            <w:tcW w:w="106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90%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91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152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lang w:eastAsia="zh-CN"/>
              </w:rPr>
              <w:t>效益指标</w:t>
            </w:r>
          </w:p>
        </w:tc>
        <w:tc>
          <w:tcPr>
            <w:tcW w:w="111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社会效益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2"/>
              </w:rPr>
            </w:pPr>
            <w:r>
              <w:rPr>
                <w:rFonts w:hint="eastAsia" w:ascii="宋体" w:hAnsi="宋体" w:cs="宋体"/>
                <w:kern w:val="0"/>
              </w:rPr>
              <w:t>指标</w:t>
            </w:r>
          </w:p>
        </w:tc>
        <w:tc>
          <w:tcPr>
            <w:tcW w:w="1272" w:type="dxa"/>
            <w:gridSpan w:val="2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提升人大代表的履职能力和水平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有所提升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有所提升</w:t>
            </w:r>
          </w:p>
        </w:tc>
        <w:tc>
          <w:tcPr>
            <w:tcW w:w="106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有所提升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91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15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满意度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指标</w:t>
            </w:r>
          </w:p>
        </w:tc>
        <w:tc>
          <w:tcPr>
            <w:tcW w:w="111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服务对象满意度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指标</w:t>
            </w:r>
          </w:p>
        </w:tc>
        <w:tc>
          <w:tcPr>
            <w:tcW w:w="1272" w:type="dxa"/>
            <w:gridSpan w:val="2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受训学员满意度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95%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95%</w:t>
            </w:r>
          </w:p>
        </w:tc>
        <w:tc>
          <w:tcPr>
            <w:tcW w:w="106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95%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</w:tr>
    </w:tbl>
    <w:p>
      <w:pPr>
        <w:pStyle w:val="2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adjustRightInd w:val="0"/>
        <w:snapToGrid w:val="0"/>
        <w:spacing w:before="156" w:beforeLines="50" w:after="156" w:afterLines="50" w:line="580" w:lineRule="atLeas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部门项目申报表(含绩效目标)</w:t>
      </w:r>
    </w:p>
    <w:p>
      <w:pPr>
        <w:rPr>
          <w:rFonts w:hint="eastAsia" w:ascii="宋体" w:hAnsi="宋体" w:cs="宋体"/>
        </w:rPr>
      </w:pPr>
      <w:r>
        <w:rPr>
          <w:rFonts w:hint="eastAsia" w:ascii="宋体" w:hAnsi="宋体" w:cs="宋体"/>
          <w:szCs w:val="21"/>
        </w:rPr>
        <w:t>申报日期：</w:t>
      </w:r>
      <w:r>
        <w:rPr>
          <w:rFonts w:hint="eastAsia" w:ascii="宋体" w:hAnsi="宋体" w:cs="宋体"/>
          <w:szCs w:val="21"/>
          <w:lang w:val="en-US" w:eastAsia="zh-CN"/>
        </w:rPr>
        <w:t>2023年9月18日</w:t>
      </w:r>
      <w:r>
        <w:rPr>
          <w:rFonts w:hint="eastAsia" w:ascii="宋体" w:hAnsi="宋体" w:cs="宋体"/>
          <w:szCs w:val="21"/>
        </w:rPr>
        <w:t xml:space="preserve"> </w:t>
      </w:r>
      <w:r>
        <w:rPr>
          <w:rFonts w:hint="eastAsia" w:ascii="宋体" w:hAnsi="宋体" w:cs="宋体"/>
        </w:rPr>
        <w:t xml:space="preserve">                                          单位：万元</w:t>
      </w:r>
    </w:p>
    <w:tbl>
      <w:tblPr>
        <w:tblStyle w:val="3"/>
        <w:tblW w:w="884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386"/>
        <w:gridCol w:w="760"/>
        <w:gridCol w:w="333"/>
        <w:gridCol w:w="814"/>
        <w:gridCol w:w="312"/>
        <w:gridCol w:w="640"/>
        <w:gridCol w:w="632"/>
        <w:gridCol w:w="972"/>
        <w:gridCol w:w="408"/>
        <w:gridCol w:w="564"/>
        <w:gridCol w:w="862"/>
        <w:gridCol w:w="230"/>
        <w:gridCol w:w="78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209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专工委工作经费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01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项目编码</w:t>
            </w:r>
          </w:p>
        </w:tc>
        <w:tc>
          <w:tcPr>
            <w:tcW w:w="244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42011223005Y000000102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项目主管部门</w:t>
            </w:r>
          </w:p>
        </w:tc>
        <w:tc>
          <w:tcPr>
            <w:tcW w:w="209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</w:rPr>
              <w:t>区人大常委会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01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项目执行单位</w:t>
            </w:r>
          </w:p>
        </w:tc>
        <w:tc>
          <w:tcPr>
            <w:tcW w:w="244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lang w:eastAsia="zh-CN"/>
              </w:rPr>
              <w:t>机关各委办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项目负责人</w:t>
            </w:r>
          </w:p>
        </w:tc>
        <w:tc>
          <w:tcPr>
            <w:tcW w:w="209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各委办负责人</w:t>
            </w:r>
          </w:p>
        </w:tc>
        <w:tc>
          <w:tcPr>
            <w:tcW w:w="201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44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83252576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单位地址</w:t>
            </w:r>
          </w:p>
        </w:tc>
        <w:tc>
          <w:tcPr>
            <w:tcW w:w="209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东西湖区吴家山东吴大道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791号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01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邮政编码</w:t>
            </w:r>
          </w:p>
        </w:tc>
        <w:tc>
          <w:tcPr>
            <w:tcW w:w="244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430040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项目属性</w:t>
            </w:r>
          </w:p>
        </w:tc>
        <w:tc>
          <w:tcPr>
            <w:tcW w:w="6554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持续性项目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支出项目类别</w:t>
            </w:r>
          </w:p>
        </w:tc>
        <w:tc>
          <w:tcPr>
            <w:tcW w:w="6554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常年性项目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起始年度</w:t>
            </w:r>
          </w:p>
        </w:tc>
        <w:tc>
          <w:tcPr>
            <w:tcW w:w="209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2023</w:t>
            </w:r>
          </w:p>
        </w:tc>
        <w:tc>
          <w:tcPr>
            <w:tcW w:w="201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终止年度</w:t>
            </w:r>
          </w:p>
        </w:tc>
        <w:tc>
          <w:tcPr>
            <w:tcW w:w="244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2023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项目立项依据</w:t>
            </w:r>
          </w:p>
        </w:tc>
        <w:tc>
          <w:tcPr>
            <w:tcW w:w="6554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保障机关各委办日常性工作的正常运行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项目实施方案</w:t>
            </w:r>
          </w:p>
        </w:tc>
        <w:tc>
          <w:tcPr>
            <w:tcW w:w="6554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机关各委办开展本委办日常性工作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及学习考察调研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产生的经费支出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项目总预算</w:t>
            </w:r>
          </w:p>
        </w:tc>
        <w:tc>
          <w:tcPr>
            <w:tcW w:w="209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ind w:firstLine="420" w:firstLineChars="200"/>
              <w:jc w:val="both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48万元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01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项目当年预算</w:t>
            </w:r>
          </w:p>
        </w:tc>
        <w:tc>
          <w:tcPr>
            <w:tcW w:w="244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ind w:firstLine="420" w:firstLineChars="200"/>
              <w:jc w:val="both"/>
              <w:rPr>
                <w:rFonts w:hint="default" w:ascii="宋体" w:hAnsi="宋体" w:cs="宋体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调剂增加20万元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  <w:jc w:val="center"/>
        </w:trPr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项目前两年预算及当年预算变动情况</w:t>
            </w:r>
          </w:p>
        </w:tc>
        <w:tc>
          <w:tcPr>
            <w:tcW w:w="6554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default" w:ascii="宋体" w:hAnsi="宋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1.2021年预算数40万元；2.2022年预算数40万元；3.当年预算变动情况：2023年年初预算数48万元，按照中央关于年度主题教育有关要求，区人大常委会各专工委积极响应大兴调查研究之风有关文件精神，开展专题调研、座谈会议及视察检查等活动，相应支出增加，导致专工委工作经费不足。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故将人大代表培训费剩余指标调整20万至专工委工作经费。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292" w:type="dxa"/>
            <w:gridSpan w:val="3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项目资金来源</w:t>
            </w:r>
          </w:p>
        </w:tc>
        <w:tc>
          <w:tcPr>
            <w:tcW w:w="4111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来源项目</w:t>
            </w:r>
          </w:p>
        </w:tc>
        <w:tc>
          <w:tcPr>
            <w:tcW w:w="244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292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244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tabs>
                <w:tab w:val="center" w:pos="1024"/>
                <w:tab w:val="right" w:pos="2379"/>
              </w:tabs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ab/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万元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292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一般公共预算财政拨款</w:t>
            </w:r>
          </w:p>
        </w:tc>
        <w:tc>
          <w:tcPr>
            <w:tcW w:w="244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righ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20万元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292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其中：申请当年预算拨款</w:t>
            </w:r>
          </w:p>
        </w:tc>
        <w:tc>
          <w:tcPr>
            <w:tcW w:w="244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righ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92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政府性基金预算财政拨款</w:t>
            </w:r>
          </w:p>
        </w:tc>
        <w:tc>
          <w:tcPr>
            <w:tcW w:w="244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righ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292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财政专户管理资金</w:t>
            </w:r>
          </w:p>
        </w:tc>
        <w:tc>
          <w:tcPr>
            <w:tcW w:w="244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righ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292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单位资金</w:t>
            </w:r>
          </w:p>
        </w:tc>
        <w:tc>
          <w:tcPr>
            <w:tcW w:w="244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righ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292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其中：使用上年度财政拨款结转</w:t>
            </w:r>
          </w:p>
        </w:tc>
        <w:tc>
          <w:tcPr>
            <w:tcW w:w="244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righ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84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项目支出明细测算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项目活动</w:t>
            </w:r>
          </w:p>
        </w:tc>
        <w:tc>
          <w:tcPr>
            <w:tcW w:w="11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活动内容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表述</w:t>
            </w:r>
          </w:p>
        </w:tc>
        <w:tc>
          <w:tcPr>
            <w:tcW w:w="114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支出经济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分类</w:t>
            </w:r>
          </w:p>
        </w:tc>
        <w:tc>
          <w:tcPr>
            <w:tcW w:w="95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金额</w:t>
            </w:r>
          </w:p>
        </w:tc>
        <w:tc>
          <w:tcPr>
            <w:tcW w:w="343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测算依据及说明</w:t>
            </w: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商品和服务支出</w:t>
            </w:r>
          </w:p>
        </w:tc>
        <w:tc>
          <w:tcPr>
            <w:tcW w:w="11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日常运行</w:t>
            </w:r>
          </w:p>
        </w:tc>
        <w:tc>
          <w:tcPr>
            <w:tcW w:w="114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办公经费</w:t>
            </w:r>
          </w:p>
        </w:tc>
        <w:tc>
          <w:tcPr>
            <w:tcW w:w="95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righ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20万元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438" w:type="dxa"/>
            <w:gridSpan w:val="5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往年机关各委办经费支出实际使用情况、历史标准以及各委办计划需求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4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项目绩效总目标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6554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目标说明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长期绩效目标1</w:t>
            </w:r>
          </w:p>
        </w:tc>
        <w:tc>
          <w:tcPr>
            <w:tcW w:w="6554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  <w:r>
              <w:rPr>
                <w:rFonts w:hint="eastAsia"/>
              </w:rPr>
              <w:t>保障办公室及各委办工作以及老干、党建工作的正常运行</w:t>
            </w:r>
            <w:r>
              <w:rPr>
                <w:rFonts w:hint="eastAsia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年度绩效目标1</w:t>
            </w:r>
          </w:p>
        </w:tc>
        <w:tc>
          <w:tcPr>
            <w:tcW w:w="6554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  <w:r>
              <w:rPr>
                <w:rFonts w:hint="eastAsia"/>
              </w:rPr>
              <w:t>保障办公室及各委办工作以及老干、党建工作的正常运行</w:t>
            </w:r>
            <w:r>
              <w:rPr>
                <w:rFonts w:hint="eastAsia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846" w:type="dxa"/>
            <w:gridSpan w:val="14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长期绩效目标表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3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目标名称</w:t>
            </w:r>
          </w:p>
        </w:tc>
        <w:tc>
          <w:tcPr>
            <w:tcW w:w="109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一级指标</w:t>
            </w:r>
          </w:p>
        </w:tc>
        <w:tc>
          <w:tcPr>
            <w:tcW w:w="112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二级指标</w:t>
            </w:r>
          </w:p>
        </w:tc>
        <w:tc>
          <w:tcPr>
            <w:tcW w:w="2244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三级指标</w:t>
            </w:r>
          </w:p>
        </w:tc>
        <w:tc>
          <w:tcPr>
            <w:tcW w:w="97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指标值</w:t>
            </w:r>
          </w:p>
        </w:tc>
        <w:tc>
          <w:tcPr>
            <w:tcW w:w="1879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指标值确定依据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32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长期绩效目标1</w:t>
            </w:r>
          </w:p>
        </w:tc>
        <w:tc>
          <w:tcPr>
            <w:tcW w:w="109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112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经济成本指标</w:t>
            </w:r>
          </w:p>
        </w:tc>
        <w:tc>
          <w:tcPr>
            <w:tcW w:w="2244" w:type="dxa"/>
            <w:gridSpan w:val="3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成本控制有效性</w:t>
            </w:r>
          </w:p>
        </w:tc>
        <w:tc>
          <w:tcPr>
            <w:tcW w:w="972" w:type="dxa"/>
            <w:gridSpan w:val="2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不超预算</w:t>
            </w:r>
          </w:p>
        </w:tc>
        <w:tc>
          <w:tcPr>
            <w:tcW w:w="1879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32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93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产出指标</w:t>
            </w:r>
          </w:p>
        </w:tc>
        <w:tc>
          <w:tcPr>
            <w:tcW w:w="112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2244" w:type="dxa"/>
            <w:gridSpan w:val="3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会议或者调研增加次数</w:t>
            </w:r>
          </w:p>
        </w:tc>
        <w:tc>
          <w:tcPr>
            <w:tcW w:w="972" w:type="dxa"/>
            <w:gridSpan w:val="2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  <w:t>≥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 w:bidi="ar-SA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  <w:t>次</w:t>
            </w:r>
          </w:p>
        </w:tc>
        <w:tc>
          <w:tcPr>
            <w:tcW w:w="1879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32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93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12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2244" w:type="dxa"/>
            <w:gridSpan w:val="3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各委办工作正常开展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完成率</w:t>
            </w:r>
          </w:p>
        </w:tc>
        <w:tc>
          <w:tcPr>
            <w:tcW w:w="972" w:type="dxa"/>
            <w:gridSpan w:val="2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879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32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9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效益指标</w:t>
            </w:r>
          </w:p>
        </w:tc>
        <w:tc>
          <w:tcPr>
            <w:tcW w:w="112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社会效益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指标</w:t>
            </w:r>
          </w:p>
        </w:tc>
        <w:tc>
          <w:tcPr>
            <w:tcW w:w="2244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对全区各项工作的推进程度</w:t>
            </w:r>
          </w:p>
        </w:tc>
        <w:tc>
          <w:tcPr>
            <w:tcW w:w="972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有所提升</w:t>
            </w:r>
          </w:p>
        </w:tc>
        <w:tc>
          <w:tcPr>
            <w:tcW w:w="1879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9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满意度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指标</w:t>
            </w:r>
          </w:p>
        </w:tc>
        <w:tc>
          <w:tcPr>
            <w:tcW w:w="112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服务对象满意度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指标</w:t>
            </w:r>
          </w:p>
        </w:tc>
        <w:tc>
          <w:tcPr>
            <w:tcW w:w="2244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使用对象满意度</w:t>
            </w:r>
          </w:p>
        </w:tc>
        <w:tc>
          <w:tcPr>
            <w:tcW w:w="972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  <w:t>≥95%</w:t>
            </w:r>
          </w:p>
        </w:tc>
        <w:tc>
          <w:tcPr>
            <w:tcW w:w="1879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46" w:type="dxa"/>
            <w:gridSpan w:val="14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年度绩效目标表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目标名称</w:t>
            </w:r>
          </w:p>
        </w:tc>
        <w:tc>
          <w:tcPr>
            <w:tcW w:w="1093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一级指标</w:t>
            </w:r>
          </w:p>
        </w:tc>
        <w:tc>
          <w:tcPr>
            <w:tcW w:w="1126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二级指标</w:t>
            </w:r>
          </w:p>
        </w:tc>
        <w:tc>
          <w:tcPr>
            <w:tcW w:w="1272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三级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指标</w:t>
            </w:r>
          </w:p>
        </w:tc>
        <w:tc>
          <w:tcPr>
            <w:tcW w:w="3036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指标值</w:t>
            </w:r>
          </w:p>
        </w:tc>
        <w:tc>
          <w:tcPr>
            <w:tcW w:w="78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指标值确定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93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126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272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97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前年</w:t>
            </w:r>
          </w:p>
        </w:tc>
        <w:tc>
          <w:tcPr>
            <w:tcW w:w="97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上年</w:t>
            </w:r>
          </w:p>
        </w:tc>
        <w:tc>
          <w:tcPr>
            <w:tcW w:w="109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预计当年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实现</w:t>
            </w:r>
          </w:p>
        </w:tc>
        <w:tc>
          <w:tcPr>
            <w:tcW w:w="78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年度绩效目标1</w:t>
            </w:r>
          </w:p>
        </w:tc>
        <w:tc>
          <w:tcPr>
            <w:tcW w:w="109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112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经济成本指标</w:t>
            </w:r>
          </w:p>
        </w:tc>
        <w:tc>
          <w:tcPr>
            <w:tcW w:w="1272" w:type="dxa"/>
            <w:gridSpan w:val="2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成本控制有效性</w:t>
            </w:r>
          </w:p>
        </w:tc>
        <w:tc>
          <w:tcPr>
            <w:tcW w:w="972" w:type="dxa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92" w:type="dxa"/>
            <w:gridSpan w:val="2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不超预算</w:t>
            </w:r>
          </w:p>
        </w:tc>
        <w:tc>
          <w:tcPr>
            <w:tcW w:w="787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93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产出指标</w:t>
            </w:r>
          </w:p>
        </w:tc>
        <w:tc>
          <w:tcPr>
            <w:tcW w:w="112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1272" w:type="dxa"/>
            <w:gridSpan w:val="2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会议或者调研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eastAsia="zh-CN"/>
              </w:rPr>
              <w:t>增加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次数</w:t>
            </w:r>
          </w:p>
        </w:tc>
        <w:tc>
          <w:tcPr>
            <w:tcW w:w="972" w:type="dxa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92" w:type="dxa"/>
            <w:gridSpan w:val="2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  <w:t>≥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 w:bidi="ar-SA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  <w:t>次</w:t>
            </w:r>
          </w:p>
        </w:tc>
        <w:tc>
          <w:tcPr>
            <w:tcW w:w="787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93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12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1272" w:type="dxa"/>
            <w:gridSpan w:val="2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各委办工作正常开展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完成率</w:t>
            </w:r>
          </w:p>
        </w:tc>
        <w:tc>
          <w:tcPr>
            <w:tcW w:w="972" w:type="dxa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92" w:type="dxa"/>
            <w:gridSpan w:val="2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787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9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效益指标</w:t>
            </w:r>
          </w:p>
        </w:tc>
        <w:tc>
          <w:tcPr>
            <w:tcW w:w="112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社会效益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指标</w:t>
            </w:r>
          </w:p>
        </w:tc>
        <w:tc>
          <w:tcPr>
            <w:tcW w:w="1272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对全区各项工作的推进程度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92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有所提升</w:t>
            </w:r>
          </w:p>
        </w:tc>
        <w:tc>
          <w:tcPr>
            <w:tcW w:w="787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9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满意度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指标</w:t>
            </w:r>
          </w:p>
        </w:tc>
        <w:tc>
          <w:tcPr>
            <w:tcW w:w="112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服务对象满意度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指标</w:t>
            </w:r>
          </w:p>
        </w:tc>
        <w:tc>
          <w:tcPr>
            <w:tcW w:w="1272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使用对象满意度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92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  <w:t>≥95%</w:t>
            </w:r>
          </w:p>
        </w:tc>
        <w:tc>
          <w:tcPr>
            <w:tcW w:w="787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</w:tr>
    </w:tbl>
    <w:p>
      <w:pPr>
        <w:pStyle w:val="2"/>
      </w:pPr>
    </w:p>
    <w:p>
      <w:pPr>
        <w:adjustRightInd w:val="0"/>
        <w:snapToGrid w:val="0"/>
        <w:spacing w:before="156" w:beforeLines="50" w:after="156" w:afterLines="50" w:line="580" w:lineRule="atLeas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adjustRightInd w:val="0"/>
        <w:snapToGrid w:val="0"/>
        <w:spacing w:before="156" w:beforeLines="50" w:after="156" w:afterLines="50" w:line="580" w:lineRule="atLeas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部门项目申报表(含绩效目标)</w:t>
      </w:r>
    </w:p>
    <w:p>
      <w:pPr>
        <w:rPr>
          <w:rFonts w:hint="eastAsia" w:ascii="宋体" w:hAnsi="宋体" w:cs="宋体"/>
        </w:rPr>
      </w:pPr>
      <w:r>
        <w:rPr>
          <w:rFonts w:hint="eastAsia" w:ascii="宋体" w:hAnsi="宋体" w:cs="宋体"/>
          <w:szCs w:val="21"/>
        </w:rPr>
        <w:t>申报日期：</w:t>
      </w:r>
      <w:r>
        <w:rPr>
          <w:rFonts w:hint="eastAsia" w:ascii="宋体" w:hAnsi="宋体" w:cs="宋体"/>
          <w:szCs w:val="21"/>
          <w:lang w:val="en-US" w:eastAsia="zh-CN"/>
        </w:rPr>
        <w:t>2023年9月18日</w:t>
      </w:r>
      <w:r>
        <w:rPr>
          <w:rFonts w:hint="eastAsia" w:ascii="宋体" w:hAnsi="宋体" w:cs="宋体"/>
          <w:szCs w:val="21"/>
        </w:rPr>
        <w:t xml:space="preserve"> </w:t>
      </w:r>
      <w:r>
        <w:rPr>
          <w:rFonts w:hint="eastAsia" w:ascii="宋体" w:hAnsi="宋体" w:cs="宋体"/>
        </w:rPr>
        <w:t xml:space="preserve">                                           单位：万元</w:t>
      </w:r>
    </w:p>
    <w:tbl>
      <w:tblPr>
        <w:tblStyle w:val="3"/>
        <w:tblW w:w="884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386"/>
        <w:gridCol w:w="760"/>
        <w:gridCol w:w="333"/>
        <w:gridCol w:w="814"/>
        <w:gridCol w:w="322"/>
        <w:gridCol w:w="630"/>
        <w:gridCol w:w="452"/>
        <w:gridCol w:w="1116"/>
        <w:gridCol w:w="420"/>
        <w:gridCol w:w="672"/>
        <w:gridCol w:w="778"/>
        <w:gridCol w:w="350"/>
        <w:gridCol w:w="6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209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小型设施修缮及网络运行维护经费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8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项目编码</w:t>
            </w:r>
          </w:p>
        </w:tc>
        <w:tc>
          <w:tcPr>
            <w:tcW w:w="246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42011223005Y000000101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项目主管部门</w:t>
            </w:r>
          </w:p>
        </w:tc>
        <w:tc>
          <w:tcPr>
            <w:tcW w:w="209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</w:rPr>
              <w:t>区人大常委会</w:t>
            </w:r>
            <w:r>
              <w:rPr>
                <w:rFonts w:hint="eastAsia" w:ascii="宋体" w:hAnsi="宋体" w:cs="Times New Roman"/>
                <w:kern w:val="0"/>
                <w:lang w:eastAsia="zh-CN"/>
              </w:rPr>
              <w:t>办公室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8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项目执行单位</w:t>
            </w:r>
          </w:p>
        </w:tc>
        <w:tc>
          <w:tcPr>
            <w:tcW w:w="246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</w:rPr>
              <w:t>区人大常委会</w:t>
            </w:r>
            <w:r>
              <w:rPr>
                <w:rFonts w:hint="eastAsia" w:ascii="宋体" w:hAnsi="宋体" w:cs="Times New Roman"/>
                <w:kern w:val="0"/>
                <w:lang w:eastAsia="zh-CN"/>
              </w:rPr>
              <w:t>办公室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项目负责人</w:t>
            </w:r>
          </w:p>
        </w:tc>
        <w:tc>
          <w:tcPr>
            <w:tcW w:w="209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桂彬</w:t>
            </w:r>
          </w:p>
        </w:tc>
        <w:tc>
          <w:tcPr>
            <w:tcW w:w="198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46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83232536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单位地址</w:t>
            </w:r>
          </w:p>
        </w:tc>
        <w:tc>
          <w:tcPr>
            <w:tcW w:w="209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东西湖区吴家山东吴大道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791号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8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邮政编码</w:t>
            </w:r>
          </w:p>
        </w:tc>
        <w:tc>
          <w:tcPr>
            <w:tcW w:w="246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430040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项目属性</w:t>
            </w:r>
          </w:p>
        </w:tc>
        <w:tc>
          <w:tcPr>
            <w:tcW w:w="6554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持续性项目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支出项目类别</w:t>
            </w:r>
          </w:p>
        </w:tc>
        <w:tc>
          <w:tcPr>
            <w:tcW w:w="6554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常年性项目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起始年度</w:t>
            </w:r>
          </w:p>
        </w:tc>
        <w:tc>
          <w:tcPr>
            <w:tcW w:w="209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2023</w:t>
            </w:r>
          </w:p>
        </w:tc>
        <w:tc>
          <w:tcPr>
            <w:tcW w:w="198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终止年度</w:t>
            </w:r>
          </w:p>
        </w:tc>
        <w:tc>
          <w:tcPr>
            <w:tcW w:w="246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2023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项目立项依据</w:t>
            </w:r>
          </w:p>
        </w:tc>
        <w:tc>
          <w:tcPr>
            <w:tcW w:w="6554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机关大楼设备、设施老化更替、日常保养，维持机关日常运转需要。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项目实施方案</w:t>
            </w:r>
          </w:p>
        </w:tc>
        <w:tc>
          <w:tcPr>
            <w:tcW w:w="6554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办公设备维修及更换、水电及消防设施采购、电器设备保养、机关大楼零星修缮、光纤网络及电信服务费。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项目总预算</w:t>
            </w:r>
          </w:p>
        </w:tc>
        <w:tc>
          <w:tcPr>
            <w:tcW w:w="209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ind w:firstLine="420" w:firstLineChars="200"/>
              <w:jc w:val="both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30万元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8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项目当年预算</w:t>
            </w:r>
          </w:p>
        </w:tc>
        <w:tc>
          <w:tcPr>
            <w:tcW w:w="246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ind w:firstLine="630" w:firstLineChars="300"/>
              <w:jc w:val="both"/>
              <w:rPr>
                <w:rFonts w:hint="default" w:ascii="宋体" w:hAnsi="宋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调剂增加15万元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项目前两年预算及当年预算变动情况</w:t>
            </w:r>
          </w:p>
        </w:tc>
        <w:tc>
          <w:tcPr>
            <w:tcW w:w="6554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1.2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021年预算30万元；2.2022年预算20万元；3.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当年预算变动情况：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2023年预算30万元，应区委区政府关于加强国有资产管理维护等工作要求，今年拟在机关增设车棚等设施，用于强化国有资产管理，故小型设施修缮及网络运行维护经费不足，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故将人大代表培训费剩余指标调整15万至小型设施修缮及网络运行维护经费。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292" w:type="dxa"/>
            <w:gridSpan w:val="3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项目资金来源</w:t>
            </w:r>
          </w:p>
        </w:tc>
        <w:tc>
          <w:tcPr>
            <w:tcW w:w="4087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来源项目</w:t>
            </w:r>
          </w:p>
        </w:tc>
        <w:tc>
          <w:tcPr>
            <w:tcW w:w="246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292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87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246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tabs>
                <w:tab w:val="center" w:pos="1024"/>
                <w:tab w:val="right" w:pos="2379"/>
              </w:tabs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万元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292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87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一般公共预算财政拨款</w:t>
            </w:r>
          </w:p>
        </w:tc>
        <w:tc>
          <w:tcPr>
            <w:tcW w:w="246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righ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万元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292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87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其中：申请当年预算拨款</w:t>
            </w:r>
          </w:p>
        </w:tc>
        <w:tc>
          <w:tcPr>
            <w:tcW w:w="246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righ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92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87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政府性基金预算财政拨款</w:t>
            </w:r>
          </w:p>
        </w:tc>
        <w:tc>
          <w:tcPr>
            <w:tcW w:w="246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righ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292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87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财政专户管理资金</w:t>
            </w:r>
          </w:p>
        </w:tc>
        <w:tc>
          <w:tcPr>
            <w:tcW w:w="246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righ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292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87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单位资金</w:t>
            </w:r>
          </w:p>
        </w:tc>
        <w:tc>
          <w:tcPr>
            <w:tcW w:w="246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righ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292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87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其中：使用上年度财政拨款结转</w:t>
            </w:r>
          </w:p>
        </w:tc>
        <w:tc>
          <w:tcPr>
            <w:tcW w:w="246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righ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84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项目支出明细测算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项目活动</w:t>
            </w:r>
          </w:p>
        </w:tc>
        <w:tc>
          <w:tcPr>
            <w:tcW w:w="11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活动内容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表述</w:t>
            </w:r>
          </w:p>
        </w:tc>
        <w:tc>
          <w:tcPr>
            <w:tcW w:w="114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支出经济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分类</w:t>
            </w:r>
          </w:p>
        </w:tc>
        <w:tc>
          <w:tcPr>
            <w:tcW w:w="95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金额</w:t>
            </w:r>
          </w:p>
        </w:tc>
        <w:tc>
          <w:tcPr>
            <w:tcW w:w="343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测算依据及说明</w:t>
            </w: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商品和服务支出</w:t>
            </w:r>
          </w:p>
        </w:tc>
        <w:tc>
          <w:tcPr>
            <w:tcW w:w="11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办公大楼修缮维护</w:t>
            </w:r>
          </w:p>
        </w:tc>
        <w:tc>
          <w:tcPr>
            <w:tcW w:w="114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维护费</w:t>
            </w:r>
          </w:p>
        </w:tc>
        <w:tc>
          <w:tcPr>
            <w:tcW w:w="95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万元</w:t>
            </w:r>
          </w:p>
        </w:tc>
        <w:tc>
          <w:tcPr>
            <w:tcW w:w="3438" w:type="dxa"/>
            <w:gridSpan w:val="5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车棚建设及大楼院内修缮</w:t>
            </w: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4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项目绩效总目标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6554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目标说明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长期绩效目标1</w:t>
            </w:r>
          </w:p>
        </w:tc>
        <w:tc>
          <w:tcPr>
            <w:tcW w:w="6554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保障办公室及各委办工作以及老干、党建工作的正常运行</w:t>
            </w:r>
            <w:r>
              <w:rPr>
                <w:rFonts w:hint="eastAsia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年度绩效目标1</w:t>
            </w:r>
          </w:p>
        </w:tc>
        <w:tc>
          <w:tcPr>
            <w:tcW w:w="6554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保障办公室及各委办工作以及老干、党建工作的正常运行</w:t>
            </w:r>
            <w:r>
              <w:rPr>
                <w:rFonts w:hint="eastAsia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846" w:type="dxa"/>
            <w:gridSpan w:val="14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长期绩效目标表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3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目标名称</w:t>
            </w:r>
          </w:p>
        </w:tc>
        <w:tc>
          <w:tcPr>
            <w:tcW w:w="109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一级指标</w:t>
            </w: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二级指标</w:t>
            </w:r>
          </w:p>
        </w:tc>
        <w:tc>
          <w:tcPr>
            <w:tcW w:w="219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三级指标</w:t>
            </w:r>
          </w:p>
        </w:tc>
        <w:tc>
          <w:tcPr>
            <w:tcW w:w="109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指标值</w:t>
            </w:r>
          </w:p>
        </w:tc>
        <w:tc>
          <w:tcPr>
            <w:tcW w:w="179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指标值确定依据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532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长期绩效目标1</w:t>
            </w:r>
          </w:p>
        </w:tc>
        <w:tc>
          <w:tcPr>
            <w:tcW w:w="109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成本指标</w:t>
            </w: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经济成本指标</w:t>
            </w:r>
          </w:p>
        </w:tc>
        <w:tc>
          <w:tcPr>
            <w:tcW w:w="219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成本控制有效</w:t>
            </w:r>
          </w:p>
        </w:tc>
        <w:tc>
          <w:tcPr>
            <w:tcW w:w="109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不超预算</w:t>
            </w:r>
          </w:p>
        </w:tc>
        <w:tc>
          <w:tcPr>
            <w:tcW w:w="179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32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93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 w:eastAsiaTheme="minorEastAsia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lang w:eastAsia="zh-CN"/>
              </w:rPr>
              <w:t>产出指标</w:t>
            </w:r>
          </w:p>
        </w:tc>
        <w:tc>
          <w:tcPr>
            <w:tcW w:w="1136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质量指标</w:t>
            </w:r>
          </w:p>
        </w:tc>
        <w:tc>
          <w:tcPr>
            <w:tcW w:w="2198" w:type="dxa"/>
            <w:gridSpan w:val="3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设备设施维护验收合格率</w:t>
            </w:r>
          </w:p>
        </w:tc>
        <w:tc>
          <w:tcPr>
            <w:tcW w:w="109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79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32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93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136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2198" w:type="dxa"/>
            <w:gridSpan w:val="3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设施正常运转</w:t>
            </w:r>
          </w:p>
        </w:tc>
        <w:tc>
          <w:tcPr>
            <w:tcW w:w="109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99%</w:t>
            </w:r>
          </w:p>
        </w:tc>
        <w:tc>
          <w:tcPr>
            <w:tcW w:w="1795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32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93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时效指标</w:t>
            </w:r>
          </w:p>
        </w:tc>
        <w:tc>
          <w:tcPr>
            <w:tcW w:w="2198" w:type="dxa"/>
            <w:gridSpan w:val="3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设施设备等维修质保时间</w:t>
            </w:r>
          </w:p>
        </w:tc>
        <w:tc>
          <w:tcPr>
            <w:tcW w:w="109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5年</w:t>
            </w:r>
          </w:p>
        </w:tc>
        <w:tc>
          <w:tcPr>
            <w:tcW w:w="179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9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满意度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指标</w:t>
            </w: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服务对象满意度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指标</w:t>
            </w:r>
          </w:p>
        </w:tc>
        <w:tc>
          <w:tcPr>
            <w:tcW w:w="2198" w:type="dxa"/>
            <w:gridSpan w:val="3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使用人员满意度</w:t>
            </w:r>
          </w:p>
        </w:tc>
        <w:tc>
          <w:tcPr>
            <w:tcW w:w="109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99%</w:t>
            </w:r>
          </w:p>
        </w:tc>
        <w:tc>
          <w:tcPr>
            <w:tcW w:w="179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46" w:type="dxa"/>
            <w:gridSpan w:val="14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年度绩效目标表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目标名称</w:t>
            </w:r>
          </w:p>
        </w:tc>
        <w:tc>
          <w:tcPr>
            <w:tcW w:w="1093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一级指标</w:t>
            </w:r>
          </w:p>
        </w:tc>
        <w:tc>
          <w:tcPr>
            <w:tcW w:w="1136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二级指标</w:t>
            </w:r>
          </w:p>
        </w:tc>
        <w:tc>
          <w:tcPr>
            <w:tcW w:w="1082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三级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指标</w:t>
            </w:r>
          </w:p>
        </w:tc>
        <w:tc>
          <w:tcPr>
            <w:tcW w:w="3336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指标值</w:t>
            </w:r>
          </w:p>
        </w:tc>
        <w:tc>
          <w:tcPr>
            <w:tcW w:w="66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指标值确定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93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136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82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11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前年</w:t>
            </w:r>
          </w:p>
        </w:tc>
        <w:tc>
          <w:tcPr>
            <w:tcW w:w="109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上年</w:t>
            </w:r>
          </w:p>
        </w:tc>
        <w:tc>
          <w:tcPr>
            <w:tcW w:w="112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预计当年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实现</w:t>
            </w:r>
          </w:p>
        </w:tc>
        <w:tc>
          <w:tcPr>
            <w:tcW w:w="6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年度绩效目标1</w:t>
            </w:r>
          </w:p>
        </w:tc>
        <w:tc>
          <w:tcPr>
            <w:tcW w:w="109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2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成本指标</w:t>
            </w: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2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经济成本指标</w:t>
            </w:r>
          </w:p>
        </w:tc>
        <w:tc>
          <w:tcPr>
            <w:tcW w:w="1082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成本控制有效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2"/>
              </w:rPr>
            </w:pPr>
          </w:p>
        </w:tc>
        <w:tc>
          <w:tcPr>
            <w:tcW w:w="109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2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不超预算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93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lang w:eastAsia="zh-CN"/>
              </w:rPr>
              <w:t>产出指标</w:t>
            </w:r>
          </w:p>
        </w:tc>
        <w:tc>
          <w:tcPr>
            <w:tcW w:w="1136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质量指标</w:t>
            </w:r>
          </w:p>
        </w:tc>
        <w:tc>
          <w:tcPr>
            <w:tcW w:w="1082" w:type="dxa"/>
            <w:gridSpan w:val="2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设备设施维护验收合格率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2"/>
              </w:rPr>
            </w:pPr>
          </w:p>
        </w:tc>
        <w:tc>
          <w:tcPr>
            <w:tcW w:w="109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2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93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136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2"/>
              </w:rPr>
            </w:pPr>
          </w:p>
        </w:tc>
        <w:tc>
          <w:tcPr>
            <w:tcW w:w="1082" w:type="dxa"/>
            <w:gridSpan w:val="2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设施正常运转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2"/>
              </w:rPr>
            </w:pPr>
          </w:p>
        </w:tc>
        <w:tc>
          <w:tcPr>
            <w:tcW w:w="109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2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99%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93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时效指标</w:t>
            </w:r>
          </w:p>
        </w:tc>
        <w:tc>
          <w:tcPr>
            <w:tcW w:w="1082" w:type="dxa"/>
            <w:gridSpan w:val="2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设施设备等维修质保时间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2"/>
              </w:rPr>
            </w:pPr>
          </w:p>
        </w:tc>
        <w:tc>
          <w:tcPr>
            <w:tcW w:w="109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2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5年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9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满意度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指标</w:t>
            </w: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服务对象满意度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2"/>
              </w:rPr>
            </w:pPr>
            <w:r>
              <w:rPr>
                <w:rFonts w:hint="eastAsia" w:ascii="宋体" w:hAnsi="宋体" w:cs="宋体"/>
                <w:kern w:val="0"/>
              </w:rPr>
              <w:t>指标</w:t>
            </w:r>
          </w:p>
        </w:tc>
        <w:tc>
          <w:tcPr>
            <w:tcW w:w="1082" w:type="dxa"/>
            <w:gridSpan w:val="2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使用人员满意度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2"/>
              </w:rPr>
            </w:pPr>
          </w:p>
        </w:tc>
        <w:tc>
          <w:tcPr>
            <w:tcW w:w="109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2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99%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</w:tr>
    </w:tbl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2MjQ1NmMyMDZlNGI1ZDIyNDhjMmVhNTg0ZjhiMTMifQ=="/>
  </w:docVars>
  <w:rsids>
    <w:rsidRoot w:val="605D0BE0"/>
    <w:rsid w:val="605D0BE0"/>
    <w:rsid w:val="6507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kern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2023-10-07T01:23:00Z</dcterms:created>
  <dc:creator>YXY</dc:creator>
  <cp:lastModifiedBy>YXY</cp:lastModifiedBy>
  <dcterms:modified xsi:type="dcterms:W3CDTF">2023-10-07T02:36:41Z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61A9AA09A82944B8A09ACF80E40F174A_11</vt:lpwstr>
  </property>
</Properties>
</file>